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AA771"/>
    <w:p w14:paraId="194E897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33196FF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BF1FA8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EBCC8DC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3EE5EF1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伊州财综[2023]33号2024年中央专项彩票公益金支持地方社会公益事业发展（体育健身）资金项目支出绩效评价报告</w:t>
      </w:r>
    </w:p>
    <w:p w14:paraId="0C045FD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0D65CD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1B12846B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C23D046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305DFBA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1DA7407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C364992">
      <w:pPr>
        <w:spacing w:line="700" w:lineRule="exact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项目名称：伊州财综[2023]33号2024年中央专项彩票公益金支持地方社会公益事业发展（体育健身）资金</w:t>
      </w:r>
    </w:p>
    <w:p w14:paraId="265F5194">
      <w:pPr>
        <w:spacing w:line="700" w:lineRule="exact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特克斯县文化体育广播电视和旅游局</w:t>
      </w:r>
    </w:p>
    <w:p w14:paraId="7565BCF0">
      <w:pPr>
        <w:spacing w:line="700" w:lineRule="exact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特克斯县文化体育广播电视和旅游局</w:t>
      </w:r>
    </w:p>
    <w:p w14:paraId="328C4F65">
      <w:pPr>
        <w:spacing w:line="700" w:lineRule="exact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陆伟</w:t>
      </w:r>
    </w:p>
    <w:p w14:paraId="2969A439">
      <w:pPr>
        <w:spacing w:line="700" w:lineRule="exact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12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21A2B18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9194891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2135FC9C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AF0045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6FC3075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78B468B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1010FC96">
      <w:pPr>
        <w:pStyle w:val="9"/>
        <w:numPr>
          <w:ilvl w:val="0"/>
          <w:numId w:val="0"/>
        </w:numPr>
        <w:spacing w:before="0" w:after="0" w:line="56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深入贯彻习近平总书记视察新疆重要指示精神，认真贯彻习近平总书记关于体育工作和“体育强国”“健康中国”重要论述，以提高全民身体素质和发展竞技体育为目标，体育彩票公益金是体育专项资金，发展和完善体育健身场地。</w:t>
      </w:r>
    </w:p>
    <w:p w14:paraId="2A5C43D9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63A7AA73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：主要用于建设特克斯县滨河体育公园，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补齐群众身边健身设施短板全面加强基础设施建设，显著改善全民建设场地设施条件。组织引导干部群众广泛参与丰富多彩的体育健身活动，进一步引导广大干部群众树立积极向上、健康文明的生活理念，提高人民群众的幸福感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。</w:t>
      </w:r>
    </w:p>
    <w:p w14:paraId="74BD777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完成彩色健身步道6239.9平方米，健身广场花岗岩12000平方米，篮球场及5人制足球场2015平方米，羽毛球场939平方米，乒乓球场267平方米。其余项目尚竣工。</w:t>
      </w:r>
    </w:p>
    <w:p w14:paraId="6B1948A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35A542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68ECF4B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2879AD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621.42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77.68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特克斯县滨河体育公园项目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7D834AB9">
      <w:pPr>
        <w:spacing w:line="560" w:lineRule="exact"/>
        <w:ind w:firstLine="643" w:firstLineChars="200"/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  <w:r>
        <w:rPr>
          <w:rFonts w:hint="eastAsia" w:eastAsia="楷体_GB2312" w:cs="Times New Roman"/>
          <w:b/>
          <w:bCs/>
          <w:sz w:val="32"/>
          <w:szCs w:val="32"/>
          <w:lang w:eastAsia="zh-CN"/>
        </w:rPr>
        <w:t>。</w:t>
      </w:r>
    </w:p>
    <w:p w14:paraId="531E458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07E18AF6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通过项目实施，补齐群众身边健身设施短板全面加强基础设施建设，显著改善全民建设场地设施条件。引导广大干部群众积极参与丰富多彩的体育健身活动，进一步提高全民身体素质。</w:t>
      </w:r>
    </w:p>
    <w:p w14:paraId="79522AB0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上半年主要完成基础建设，新建彩色健身步道再次健身广场、篮球场及5人制足球场、羽毛球场、乒乓球场；下半年进行配套设施建设，电力、排水、硬化、绿化等附属设施。做到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入贯彻习近平总书记视察新疆重要指示精神，认真贯彻习近平总书记关于体育工作和“体育强国”“健康中国”重要论述，以提高全民身体素质和发展竞技体育为目标，体育彩票公益金是体育专项资金，发展和完善体育健身场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11D24F00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8D4941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0EC0620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4FFDB12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E87A52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社会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7D73EDC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7BCCFC3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3EE3EC4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6711DC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5C324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0AAB5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产出指标、满意度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等多维度指标，为项目后续的改进与优化提供科学依据。</w:t>
      </w:r>
    </w:p>
    <w:p w14:paraId="4F225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7B600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3DC72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669DF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17645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42F00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85DD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40DB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47B21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614D651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0B4FD86A">
      <w:pPr>
        <w:spacing w:line="22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本项目预算绩效评价报告的评价对象是伊州财综[2023]33号2024年中央专项彩票公益金支持地方社会事业发展(体育健身)资金及其预算执行情况。该项目由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文旅局项目办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负责实施，旨在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通过项目实施，补齐群众身边健身设施短板全面加强基础设施建设，显著改善全民建设场地设施条件。组织引导干部群众广泛参与丰富多彩的体育健身活动，进一步引导广大干部群众树立积极向上、健康文明的生活理念，提高人民群众的幸福感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。项目预算涵盖从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2024年12月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元。</w:t>
      </w:r>
    </w:p>
    <w:p w14:paraId="564D0D8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62161A3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65B6DC48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402407D5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6628CD4D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7F30DF70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社会影响：考察项目对社会方面的综合影响。</w:t>
      </w:r>
    </w:p>
    <w:p w14:paraId="0BCE0AEA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50E8075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327792E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6A3E549E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3BE7FD4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756EEC1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77F4FA3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41A7387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2358F16C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7957128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3C063E2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2B6B265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673A8AF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BA9C4B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752B026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28113A7F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3BC14763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0209224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6C68B6C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0FB0D38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323AFF2C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yellow"/>
        </w:rPr>
      </w:pPr>
    </w:p>
    <w:p w14:paraId="1822507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（四）最低成本法。是指在绩效目标确定的前提下，成本最小者为优的方法。</w:t>
      </w:r>
    </w:p>
    <w:p w14:paraId="28EFADC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2AAA27B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</w:p>
    <w:p w14:paraId="51A810E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计划标准。指以预先制定的目标、计划、预算、定额等作为评价标准。</w:t>
      </w:r>
    </w:p>
    <w:p w14:paraId="4A60356F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3B117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0F3E0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28CC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50BAB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464D2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9727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40B70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68532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38D52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17037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788B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D1C5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8D62980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70D83BF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647A133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伊州财综[2023]33号2024年中央专项彩票公益金支持地方社会事业发展(体育健身)资金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在经费落到实处，保证专款专用 ，并严格落实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各类制度等方面表现出色，达到了预期的标准与要求。同时，项目也在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开始申报阶段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中标、立项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签订合同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2C9471B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特克斯县文旅局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1BB7568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在加强基础设施建设，显著改善全民建设场地设施条件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2C4C931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伊州财综[2023]33号2024年中央专项彩票公益金支持地方社会事业发展(体育健身)资金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27E143A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35D4918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85.87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18.1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90.50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27.77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69.43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42776CE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848E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4CE146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42662C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4721CE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F9BF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8889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605E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11AA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4230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6216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F5D7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EC2A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18.1</w:t>
            </w:r>
          </w:p>
        </w:tc>
      </w:tr>
      <w:tr w14:paraId="23248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F787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C076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03C2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27.77</w:t>
            </w:r>
          </w:p>
        </w:tc>
      </w:tr>
      <w:tr w14:paraId="6324F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66BB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62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144A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4A652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F327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22B0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C39F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85.87</w:t>
            </w:r>
          </w:p>
        </w:tc>
      </w:tr>
    </w:tbl>
    <w:p w14:paraId="48A5DDC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1B4ACB3F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4D0F624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3DA37E1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6B0253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45585EC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453DE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50E66A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F01CE2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703F749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57FE625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1447B57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24C07B6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8DB9E04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64F413F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6A0E7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40FE87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13887A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6A60E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ECDB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02660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00403A4E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544B2F0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18.1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90.50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BC8842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6CE9336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19C5F14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预算资金按计划进度执行。</w:t>
      </w:r>
    </w:p>
    <w:p w14:paraId="17BE7E1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3EBE92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621.42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77.68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E892E1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2A72C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352F7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424D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EA7153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7BB0A0A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0E546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657C0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1EAF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1B7D8A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7F1E22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51E11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4627D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E7FE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4896396D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75D39C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27.77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84.33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具体产出指标完成情况如下：</w:t>
      </w:r>
    </w:p>
    <w:p w14:paraId="05E6740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4BBB2C1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指标1：支持建设体育公园数量，指标值：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9EB57E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1755395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指标1：竣工验收合格率 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偏差原因：该项目计划2024年11月30日竣工，由于天气原因无法满足施工条件处于季节性停工阶段，目前已开展施工。</w:t>
      </w:r>
    </w:p>
    <w:p w14:paraId="5EAF033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5960157E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指标1：项目按计划开工率，指标值：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0741AC6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：项目按计划完工率 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49738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1909A4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指标1：建设体育公园支持资金量 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800万元/个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621.42万元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77.68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偏差原因：该项目计划2024年11月30日竣工，由于天气原因无法满足施工条件处于季节性停工阶段，目前已开展施工所以资金没有支付完。</w:t>
      </w:r>
    </w:p>
    <w:p w14:paraId="03DCD198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项目效益情况</w:t>
      </w:r>
    </w:p>
    <w:p w14:paraId="6AF2FC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6E8A452B">
      <w:pPr>
        <w:shd w:val="clear" w:color="auto" w:fill="auto"/>
        <w:spacing w:line="600" w:lineRule="exact"/>
        <w:ind w:left="638" w:leftChars="304" w:firstLine="0" w:firstLineChars="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0D0F86D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指标1：项目受益人数，指标值：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br w:type="textWrapping"/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：全民身体素质提升，指标值：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0C69312E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：</w:t>
      </w:r>
    </w:p>
    <w:p w14:paraId="08F9D538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指标1：受益群众满意度，指标值：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有效提高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有效提高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BDBC07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21255077">
      <w:pPr>
        <w:pStyle w:val="20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伊州财综[2023]33号2024年中央专项彩票公益金支持地方社会事业发展(体育健身)资金项目年初预算万元，全年预算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800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21.42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77.68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91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13.32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: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该项目计划2024年11月30日竣工，由于天气原因无法满足施工条件处于季节性停工阶段，目前已开展施工，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:对接项目办督促在2025年争取完工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690E4B11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79B0383C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426DACF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B033DDC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2CFB147A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32FA944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7FCDDC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2.由于天气原因无法满足施工条件处于季节性停工阶段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因此没有按照计划完工。</w:t>
      </w:r>
    </w:p>
    <w:p w14:paraId="4C8D5AD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项目细化管理工作不足。项目开始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缺乏规划和科学性，导致项目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未按计划竣工。</w:t>
      </w:r>
    </w:p>
    <w:p w14:paraId="1DEC548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6BF3A24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4BA4508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强化质量检查节点，增加阶段性评审，及时发现并解决相关问题，避免导致因各种原因延误工期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61C9673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2C24092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5AB569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安全考核建立绩效工作考核制度，加大全局对全面实施预算绩效管理和绩效管理工作的学习力度，让“花钱必问效，无效必问责”的理念深入工作每个环节。</w:t>
      </w:r>
    </w:p>
    <w:p w14:paraId="30562FB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171A770D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4A6EB95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2F0C07E7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10D5FF0B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2AC4AB16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637B597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1" w:name="_GoBack"/>
      <w:bookmarkEnd w:id="1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A4CF7F-BA10-4776-B648-091C2A8056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8677A40E-B50D-4309-B16A-EED6F805474D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FF7D3FB1-C6F3-473B-80E5-C3D596FDDC9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28C5CD50-F0A8-47E4-82F5-42508CEA5A8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87A88268-92D5-43A8-80BF-94894892521D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14440B3A-193E-48A7-BCF8-83546FE85CCA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AC4055BD-28B3-4A0D-8473-D90187217D7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C1E04C54-3693-47CF-AB81-35321197C5B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69A70B87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82D8130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2903429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eyJoZGlkIjoiMTk4ZjMzZTkxMDUzOWUwYzQ4OTViM2UwODBmYmY3N2QifQ==</vt:lpwstr>
  </property>
</Properties>
</file>

<file path=customXml/itemProps1.xml><?xml version="1.0" encoding="utf-8"?>
<ds:datastoreItem xmlns:ds="http://schemas.openxmlformats.org/officeDocument/2006/customXml" ds:itemID="{6515a3ba-7836-416c-8be7-37bf8a13cb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9795</Words>
  <Characters>10147</Characters>
  <Lines>58</Lines>
  <Paragraphs>16</Paragraphs>
  <TotalTime>23</TotalTime>
  <ScaleCrop>false</ScaleCrop>
  <LinksUpToDate>false</LinksUpToDate>
  <CharactersWithSpaces>10174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2025-11-13T05:45:18Z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eyJoZGlkIjoiZjZjY2YzNDY3YWM4YThjNjdkZTk2MDAwYjE2OGQzNDQiLCJ1c2VySWQiOiIzNzI2MDMzNTYifQ==</vt:lpwstr>
  </property>
</Properties>
</file>